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CC43" w14:textId="41564A19" w:rsidR="009932D5" w:rsidRPr="00476F1C" w:rsidRDefault="00735E5E" w:rsidP="00207A7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t xml:space="preserve">The Natural Resources and Other Legislation (GDA2020) Amendment Bill 2019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amends </w:t>
      </w:r>
      <w:r w:rsidR="00834FA4">
        <w:rPr>
          <w:rFonts w:ascii="Arial" w:hAnsi="Arial" w:cs="Arial"/>
          <w:bCs/>
          <w:spacing w:val="-3"/>
          <w:sz w:val="22"/>
          <w:szCs w:val="22"/>
        </w:rPr>
        <w:t xml:space="preserve">several </w:t>
      </w:r>
      <w:r>
        <w:rPr>
          <w:rFonts w:ascii="Arial" w:hAnsi="Arial" w:cs="Arial"/>
          <w:bCs/>
          <w:spacing w:val="-3"/>
          <w:sz w:val="22"/>
          <w:szCs w:val="22"/>
        </w:rPr>
        <w:t>Acts</w:t>
      </w:r>
      <w:r w:rsidRPr="00476F1C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476F1C">
        <w:rPr>
          <w:rFonts w:ascii="Arial" w:hAnsi="Arial" w:cs="Arial"/>
          <w:noProof/>
          <w:sz w:val="22"/>
          <w:szCs w:val="22"/>
        </w:rPr>
        <w:t>adopt the latest national standa</w:t>
      </w:r>
      <w:r>
        <w:rPr>
          <w:rFonts w:ascii="Arial" w:hAnsi="Arial" w:cs="Arial"/>
          <w:noProof/>
          <w:sz w:val="22"/>
          <w:szCs w:val="22"/>
        </w:rPr>
        <w:t>rd for measurement of position</w:t>
      </w:r>
      <w:r w:rsidR="004C7487">
        <w:rPr>
          <w:rFonts w:ascii="Arial" w:hAnsi="Arial" w:cs="Arial"/>
          <w:noProof/>
          <w:sz w:val="22"/>
          <w:szCs w:val="22"/>
        </w:rPr>
        <w:t xml:space="preserve"> - </w:t>
      </w:r>
      <w:r w:rsidRPr="00476F1C">
        <w:rPr>
          <w:rFonts w:ascii="Arial" w:hAnsi="Arial" w:cs="Arial"/>
          <w:noProof/>
          <w:sz w:val="22"/>
          <w:szCs w:val="22"/>
        </w:rPr>
        <w:t>the Geocentr</w:t>
      </w:r>
      <w:r>
        <w:rPr>
          <w:rFonts w:ascii="Arial" w:hAnsi="Arial" w:cs="Arial"/>
          <w:noProof/>
          <w:sz w:val="22"/>
          <w:szCs w:val="22"/>
        </w:rPr>
        <w:t>ic Datum of Australia (GDA2020)</w:t>
      </w:r>
      <w:r w:rsidRPr="00F7609A">
        <w:rPr>
          <w:rFonts w:ascii="Arial" w:hAnsi="Arial" w:cs="Arial"/>
          <w:noProof/>
          <w:sz w:val="22"/>
          <w:szCs w:val="22"/>
        </w:rPr>
        <w:t xml:space="preserve"> </w:t>
      </w:r>
      <w:r w:rsidR="004C7487">
        <w:rPr>
          <w:rFonts w:ascii="Arial" w:hAnsi="Arial" w:cs="Arial"/>
          <w:noProof/>
          <w:sz w:val="22"/>
          <w:szCs w:val="22"/>
        </w:rPr>
        <w:t xml:space="preserve">- </w:t>
      </w:r>
      <w:r w:rsidRPr="00476F1C">
        <w:rPr>
          <w:rFonts w:ascii="Arial" w:hAnsi="Arial" w:cs="Arial"/>
          <w:noProof/>
          <w:sz w:val="22"/>
          <w:szCs w:val="22"/>
        </w:rPr>
        <w:t xml:space="preserve">determined under the </w:t>
      </w:r>
      <w:r w:rsidRPr="00476F1C">
        <w:rPr>
          <w:rFonts w:ascii="Arial" w:hAnsi="Arial" w:cs="Arial"/>
          <w:i/>
          <w:noProof/>
          <w:sz w:val="22"/>
          <w:szCs w:val="22"/>
        </w:rPr>
        <w:t>National Measurement Act 1966</w:t>
      </w:r>
      <w:r w:rsidRPr="00476F1C">
        <w:rPr>
          <w:rFonts w:ascii="Arial" w:hAnsi="Arial" w:cs="Arial"/>
          <w:noProof/>
          <w:sz w:val="22"/>
          <w:szCs w:val="22"/>
        </w:rPr>
        <w:t xml:space="preserve"> (Cwlth) as the standard in Queensland legislation for the future collection and</w:t>
      </w:r>
      <w:r>
        <w:rPr>
          <w:rFonts w:ascii="Arial" w:hAnsi="Arial" w:cs="Arial"/>
          <w:noProof/>
          <w:sz w:val="22"/>
          <w:szCs w:val="22"/>
        </w:rPr>
        <w:t xml:space="preserve"> sharing of pos</w:t>
      </w:r>
      <w:r w:rsidR="00AA064D">
        <w:rPr>
          <w:rFonts w:ascii="Arial" w:hAnsi="Arial" w:cs="Arial"/>
          <w:noProof/>
          <w:sz w:val="22"/>
          <w:szCs w:val="22"/>
        </w:rPr>
        <w:t>i</w:t>
      </w:r>
      <w:r>
        <w:rPr>
          <w:rFonts w:ascii="Arial" w:hAnsi="Arial" w:cs="Arial"/>
          <w:noProof/>
          <w:sz w:val="22"/>
          <w:szCs w:val="22"/>
        </w:rPr>
        <w:t>tion information,</w:t>
      </w:r>
      <w:r w:rsidRPr="00476F1C">
        <w:rPr>
          <w:rFonts w:ascii="Arial" w:hAnsi="Arial" w:cs="Arial"/>
          <w:noProof/>
          <w:sz w:val="22"/>
          <w:szCs w:val="22"/>
        </w:rPr>
        <w:t xml:space="preserve"> and </w:t>
      </w:r>
      <w:r>
        <w:rPr>
          <w:rFonts w:ascii="Arial" w:hAnsi="Arial" w:cs="Arial"/>
          <w:noProof/>
          <w:sz w:val="22"/>
          <w:szCs w:val="22"/>
        </w:rPr>
        <w:t>to c</w:t>
      </w:r>
      <w:r w:rsidRPr="00476F1C">
        <w:rPr>
          <w:rFonts w:ascii="Arial" w:hAnsi="Arial" w:cs="Arial"/>
          <w:noProof/>
          <w:sz w:val="22"/>
          <w:szCs w:val="22"/>
        </w:rPr>
        <w:t>larify or update to GDA2020 (where appropriate) position references used to regulate activities.</w:t>
      </w:r>
    </w:p>
    <w:p w14:paraId="4DEA1F6C" w14:textId="77777777" w:rsidR="009932D5" w:rsidRDefault="00735E5E" w:rsidP="00207A7F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spacing w:before="240"/>
        <w:ind w:left="36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The Bill also amends the </w:t>
      </w:r>
      <w:r w:rsidRPr="00EC7845">
        <w:rPr>
          <w:rFonts w:ascii="Arial" w:hAnsi="Arial" w:cs="Arial"/>
          <w:i/>
          <w:noProof/>
          <w:sz w:val="22"/>
          <w:szCs w:val="22"/>
        </w:rPr>
        <w:t>Land Act 1994</w:t>
      </w:r>
      <w:r>
        <w:rPr>
          <w:rFonts w:ascii="Arial" w:hAnsi="Arial" w:cs="Arial"/>
          <w:noProof/>
          <w:sz w:val="22"/>
          <w:szCs w:val="22"/>
        </w:rPr>
        <w:t xml:space="preserve"> to :</w:t>
      </w:r>
    </w:p>
    <w:p w14:paraId="29C46075" w14:textId="77777777" w:rsidR="009932D5" w:rsidRPr="00BE69F8" w:rsidRDefault="00735E5E" w:rsidP="00207A7F">
      <w:pPr>
        <w:numPr>
          <w:ilvl w:val="1"/>
          <w:numId w:val="7"/>
        </w:numPr>
        <w:tabs>
          <w:tab w:val="clear" w:pos="1443"/>
          <w:tab w:val="num" w:pos="723"/>
        </w:tabs>
        <w:spacing w:before="120"/>
        <w:ind w:left="723"/>
        <w:jc w:val="both"/>
        <w:rPr>
          <w:rFonts w:ascii="Arial" w:hAnsi="Arial" w:cs="Arial"/>
          <w:noProof/>
          <w:sz w:val="22"/>
          <w:szCs w:val="22"/>
        </w:rPr>
      </w:pPr>
      <w:r w:rsidRPr="00BE69F8">
        <w:rPr>
          <w:rFonts w:ascii="Arial" w:hAnsi="Arial" w:cs="Arial"/>
          <w:noProof/>
          <w:sz w:val="22"/>
          <w:szCs w:val="22"/>
        </w:rPr>
        <w:t xml:space="preserve">provide a more efficient pathway to lease renewal for both the lessee and the government. Currently, renewal of a term lease is contingent on the lessee lodging an application. </w:t>
      </w:r>
      <w:r>
        <w:rPr>
          <w:rFonts w:ascii="Arial" w:hAnsi="Arial" w:cs="Arial"/>
          <w:noProof/>
          <w:sz w:val="22"/>
          <w:szCs w:val="22"/>
        </w:rPr>
        <w:t xml:space="preserve">The amendment will </w:t>
      </w:r>
      <w:r w:rsidRPr="00BE69F8">
        <w:rPr>
          <w:rFonts w:ascii="Arial" w:hAnsi="Arial" w:cs="Arial"/>
          <w:noProof/>
          <w:sz w:val="22"/>
          <w:szCs w:val="22"/>
        </w:rPr>
        <w:t>enable the chief executive to make an offer of a new lease without the lessee lodging an application.</w:t>
      </w:r>
    </w:p>
    <w:p w14:paraId="6DB52365" w14:textId="1D838FD9" w:rsidR="009932D5" w:rsidRDefault="00735E5E" w:rsidP="00207A7F">
      <w:pPr>
        <w:numPr>
          <w:ilvl w:val="1"/>
          <w:numId w:val="7"/>
        </w:numPr>
        <w:tabs>
          <w:tab w:val="clear" w:pos="1443"/>
          <w:tab w:val="num" w:pos="723"/>
        </w:tabs>
        <w:spacing w:before="120"/>
        <w:ind w:left="723"/>
        <w:jc w:val="both"/>
        <w:rPr>
          <w:rFonts w:ascii="Arial" w:hAnsi="Arial" w:cs="Arial"/>
          <w:noProof/>
          <w:sz w:val="22"/>
          <w:szCs w:val="22"/>
        </w:rPr>
      </w:pPr>
      <w:r w:rsidRPr="00BE69F8">
        <w:rPr>
          <w:rFonts w:ascii="Arial" w:hAnsi="Arial" w:cs="Arial"/>
          <w:noProof/>
          <w:sz w:val="22"/>
          <w:szCs w:val="22"/>
        </w:rPr>
        <w:t xml:space="preserve">enable </w:t>
      </w:r>
      <w:r w:rsidR="00AF5F78">
        <w:rPr>
          <w:rFonts w:ascii="Arial" w:hAnsi="Arial" w:cs="Arial"/>
          <w:noProof/>
          <w:sz w:val="22"/>
          <w:szCs w:val="22"/>
        </w:rPr>
        <w:t xml:space="preserve">the granting </w:t>
      </w:r>
      <w:r w:rsidRPr="00BE69F8">
        <w:rPr>
          <w:rFonts w:ascii="Arial" w:hAnsi="Arial" w:cs="Arial"/>
          <w:noProof/>
          <w:sz w:val="22"/>
          <w:szCs w:val="22"/>
        </w:rPr>
        <w:t xml:space="preserve">of </w:t>
      </w:r>
      <w:r>
        <w:rPr>
          <w:rFonts w:ascii="Arial" w:hAnsi="Arial" w:cs="Arial"/>
          <w:noProof/>
          <w:sz w:val="22"/>
          <w:szCs w:val="22"/>
        </w:rPr>
        <w:t>unallocated state land</w:t>
      </w:r>
      <w:r w:rsidRPr="00BE69F8">
        <w:rPr>
          <w:rFonts w:ascii="Arial" w:hAnsi="Arial" w:cs="Arial"/>
          <w:noProof/>
          <w:sz w:val="22"/>
          <w:szCs w:val="22"/>
        </w:rPr>
        <w:t xml:space="preserve">, without competition, to an entity that represents the people who would have otherwise held native title but for historical extinguishment of their native title. </w:t>
      </w:r>
      <w:r w:rsidR="00AF5F78">
        <w:rPr>
          <w:rFonts w:ascii="Arial" w:hAnsi="Arial" w:cs="Arial"/>
          <w:noProof/>
          <w:sz w:val="22"/>
          <w:szCs w:val="22"/>
        </w:rPr>
        <w:t xml:space="preserve">The land to be granted and to whom must be identified in </w:t>
      </w:r>
      <w:r w:rsidRPr="00BE69F8">
        <w:rPr>
          <w:rFonts w:ascii="Arial" w:hAnsi="Arial" w:cs="Arial"/>
          <w:noProof/>
          <w:sz w:val="22"/>
          <w:szCs w:val="22"/>
        </w:rPr>
        <w:t>an Indige</w:t>
      </w:r>
      <w:r>
        <w:rPr>
          <w:rFonts w:ascii="Arial" w:hAnsi="Arial" w:cs="Arial"/>
          <w:noProof/>
          <w:sz w:val="22"/>
          <w:szCs w:val="22"/>
        </w:rPr>
        <w:t>n</w:t>
      </w:r>
      <w:r w:rsidRPr="00BE69F8">
        <w:rPr>
          <w:rFonts w:ascii="Arial" w:hAnsi="Arial" w:cs="Arial"/>
          <w:noProof/>
          <w:sz w:val="22"/>
          <w:szCs w:val="22"/>
        </w:rPr>
        <w:t xml:space="preserve">ous Land Use </w:t>
      </w:r>
      <w:r w:rsidR="00AF5F78">
        <w:rPr>
          <w:rFonts w:ascii="Arial" w:hAnsi="Arial" w:cs="Arial"/>
          <w:noProof/>
          <w:sz w:val="22"/>
          <w:szCs w:val="22"/>
        </w:rPr>
        <w:t>A</w:t>
      </w:r>
      <w:r w:rsidRPr="00BE69F8">
        <w:rPr>
          <w:rFonts w:ascii="Arial" w:hAnsi="Arial" w:cs="Arial"/>
          <w:noProof/>
          <w:sz w:val="22"/>
          <w:szCs w:val="22"/>
        </w:rPr>
        <w:t>greement</w:t>
      </w:r>
      <w:r w:rsidR="00AF5F78">
        <w:rPr>
          <w:rFonts w:ascii="Arial" w:hAnsi="Arial" w:cs="Arial"/>
          <w:noProof/>
          <w:sz w:val="22"/>
          <w:szCs w:val="22"/>
        </w:rPr>
        <w:t>,</w:t>
      </w:r>
      <w:r w:rsidRPr="00BE69F8">
        <w:rPr>
          <w:rFonts w:ascii="Arial" w:hAnsi="Arial" w:cs="Arial"/>
          <w:noProof/>
          <w:sz w:val="22"/>
          <w:szCs w:val="22"/>
        </w:rPr>
        <w:t xml:space="preserve"> </w:t>
      </w:r>
      <w:r w:rsidR="00AF5F78">
        <w:rPr>
          <w:rFonts w:ascii="Arial" w:hAnsi="Arial" w:cs="Arial"/>
          <w:noProof/>
          <w:sz w:val="22"/>
          <w:szCs w:val="22"/>
        </w:rPr>
        <w:t xml:space="preserve">that has been </w:t>
      </w:r>
      <w:r w:rsidRPr="00BE69F8">
        <w:rPr>
          <w:rFonts w:ascii="Arial" w:hAnsi="Arial" w:cs="Arial"/>
          <w:noProof/>
          <w:sz w:val="22"/>
          <w:szCs w:val="22"/>
        </w:rPr>
        <w:t>publicly notified and registered by the National Native Title Tribunal</w:t>
      </w:r>
      <w:r>
        <w:rPr>
          <w:rFonts w:ascii="Arial" w:hAnsi="Arial" w:cs="Arial"/>
          <w:noProof/>
          <w:sz w:val="22"/>
          <w:szCs w:val="22"/>
        </w:rPr>
        <w:t>.</w:t>
      </w:r>
    </w:p>
    <w:p w14:paraId="591BD10D" w14:textId="77777777" w:rsidR="009932D5" w:rsidRDefault="00735E5E" w:rsidP="00207A7F">
      <w:pPr>
        <w:numPr>
          <w:ilvl w:val="1"/>
          <w:numId w:val="7"/>
        </w:numPr>
        <w:tabs>
          <w:tab w:val="clear" w:pos="1443"/>
          <w:tab w:val="num" w:pos="723"/>
        </w:tabs>
        <w:spacing w:before="120"/>
        <w:ind w:left="723"/>
        <w:jc w:val="both"/>
        <w:rPr>
          <w:noProof/>
        </w:rPr>
      </w:pPr>
      <w:r w:rsidRPr="00480440">
        <w:rPr>
          <w:rFonts w:ascii="Arial" w:hAnsi="Arial" w:cs="Arial"/>
          <w:sz w:val="22"/>
          <w:szCs w:val="22"/>
        </w:rPr>
        <w:t>improve the effectiveness of the legislation for making model by-laws for trust land, and making interests in state land available by competition.</w:t>
      </w:r>
      <w:r>
        <w:t xml:space="preserve"> </w:t>
      </w:r>
    </w:p>
    <w:p w14:paraId="67F2FB3F" w14:textId="77777777" w:rsidR="00834FA4" w:rsidRDefault="00735E5E" w:rsidP="00207A7F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76F1C">
        <w:rPr>
          <w:rFonts w:ascii="Arial" w:hAnsi="Arial" w:cs="Arial"/>
          <w:sz w:val="22"/>
          <w:szCs w:val="22"/>
        </w:rPr>
        <w:t>Other minor amendments in the Bill will</w:t>
      </w:r>
      <w:r w:rsidR="00834FA4">
        <w:rPr>
          <w:rFonts w:ascii="Arial" w:hAnsi="Arial" w:cs="Arial"/>
          <w:sz w:val="22"/>
          <w:szCs w:val="22"/>
        </w:rPr>
        <w:t>:</w:t>
      </w:r>
    </w:p>
    <w:p w14:paraId="1B2FC734" w14:textId="5B323040" w:rsidR="009932D5" w:rsidRDefault="00735E5E" w:rsidP="00207A7F">
      <w:pPr>
        <w:numPr>
          <w:ilvl w:val="1"/>
          <w:numId w:val="7"/>
        </w:numPr>
        <w:tabs>
          <w:tab w:val="clear" w:pos="1443"/>
          <w:tab w:val="num" w:pos="720"/>
        </w:tabs>
        <w:spacing w:before="120"/>
        <w:ind w:left="723"/>
        <w:jc w:val="both"/>
        <w:rPr>
          <w:rFonts w:ascii="Arial" w:hAnsi="Arial" w:cs="Arial"/>
          <w:sz w:val="22"/>
          <w:szCs w:val="22"/>
        </w:rPr>
      </w:pPr>
      <w:r w:rsidRPr="00476F1C">
        <w:rPr>
          <w:rFonts w:ascii="Arial" w:hAnsi="Arial" w:cs="Arial"/>
          <w:noProof/>
          <w:sz w:val="22"/>
          <w:szCs w:val="22"/>
        </w:rPr>
        <w:t>remove</w:t>
      </w:r>
      <w:r w:rsidRPr="00476F1C">
        <w:rPr>
          <w:rFonts w:ascii="Arial" w:hAnsi="Arial" w:cs="Arial"/>
          <w:sz w:val="22"/>
          <w:szCs w:val="22"/>
        </w:rPr>
        <w:t xml:space="preserve"> references to </w:t>
      </w:r>
      <w:r w:rsidR="00834FA4">
        <w:rPr>
          <w:rFonts w:ascii="Arial" w:hAnsi="Arial" w:cs="Arial"/>
          <w:sz w:val="22"/>
          <w:szCs w:val="22"/>
        </w:rPr>
        <w:t xml:space="preserve">paper </w:t>
      </w:r>
      <w:r w:rsidRPr="00476F1C">
        <w:rPr>
          <w:rFonts w:ascii="Arial" w:hAnsi="Arial" w:cs="Arial"/>
          <w:noProof/>
          <w:sz w:val="22"/>
          <w:szCs w:val="22"/>
        </w:rPr>
        <w:t xml:space="preserve">Certificates of Titles under the </w:t>
      </w:r>
      <w:r w:rsidRPr="00EC7845">
        <w:rPr>
          <w:rFonts w:ascii="Arial" w:hAnsi="Arial" w:cs="Arial"/>
          <w:i/>
          <w:sz w:val="22"/>
          <w:szCs w:val="22"/>
        </w:rPr>
        <w:t>South Bank Corporation Act 1989</w:t>
      </w:r>
      <w:r>
        <w:rPr>
          <w:rFonts w:ascii="Arial" w:hAnsi="Arial" w:cs="Arial"/>
          <w:sz w:val="22"/>
          <w:szCs w:val="22"/>
        </w:rPr>
        <w:t xml:space="preserve"> </w:t>
      </w:r>
      <w:r w:rsidRPr="00476F1C">
        <w:rPr>
          <w:rFonts w:ascii="Arial" w:hAnsi="Arial" w:cs="Arial"/>
          <w:noProof/>
          <w:sz w:val="22"/>
          <w:szCs w:val="22"/>
        </w:rPr>
        <w:t xml:space="preserve">to make it consistent with the </w:t>
      </w:r>
      <w:r w:rsidRPr="00EC7845">
        <w:rPr>
          <w:rFonts w:ascii="Arial" w:hAnsi="Arial" w:cs="Arial"/>
          <w:i/>
          <w:noProof/>
          <w:sz w:val="22"/>
          <w:szCs w:val="22"/>
        </w:rPr>
        <w:t>Land Titles Act 1994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476F1C">
        <w:rPr>
          <w:rFonts w:ascii="Arial" w:hAnsi="Arial" w:cs="Arial"/>
          <w:noProof/>
          <w:sz w:val="22"/>
          <w:szCs w:val="22"/>
        </w:rPr>
        <w:t xml:space="preserve">and </w:t>
      </w:r>
      <w:r w:rsidRPr="00476F1C">
        <w:rPr>
          <w:rFonts w:ascii="Arial" w:hAnsi="Arial" w:cs="Arial"/>
          <w:sz w:val="22"/>
          <w:szCs w:val="22"/>
        </w:rPr>
        <w:t>enhance processing, efficiency and clarity to title registrations</w:t>
      </w:r>
      <w:r>
        <w:rPr>
          <w:rFonts w:ascii="Arial" w:hAnsi="Arial" w:cs="Arial"/>
          <w:sz w:val="22"/>
          <w:szCs w:val="22"/>
        </w:rPr>
        <w:t xml:space="preserve"> under the Land Titles Act</w:t>
      </w:r>
      <w:r w:rsidRPr="00476F1C">
        <w:rPr>
          <w:rFonts w:ascii="Arial" w:hAnsi="Arial" w:cs="Arial"/>
          <w:sz w:val="22"/>
          <w:szCs w:val="22"/>
        </w:rPr>
        <w:t>.</w:t>
      </w:r>
    </w:p>
    <w:p w14:paraId="746ED759" w14:textId="4E3271C2" w:rsidR="00834FA4" w:rsidRPr="00714349" w:rsidRDefault="00834FA4" w:rsidP="00207A7F">
      <w:pPr>
        <w:numPr>
          <w:ilvl w:val="1"/>
          <w:numId w:val="7"/>
        </w:numPr>
        <w:tabs>
          <w:tab w:val="clear" w:pos="1443"/>
          <w:tab w:val="num" w:pos="720"/>
        </w:tabs>
        <w:spacing w:before="120"/>
        <w:ind w:left="72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</w:t>
      </w:r>
      <w:r w:rsidRPr="00714349">
        <w:rPr>
          <w:rFonts w:ascii="Arial" w:hAnsi="Arial" w:cs="Arial"/>
          <w:noProof/>
          <w:sz w:val="22"/>
          <w:szCs w:val="22"/>
        </w:rPr>
        <w:t>xtend</w:t>
      </w:r>
      <w:r w:rsidRPr="00714349">
        <w:rPr>
          <w:rFonts w:ascii="Arial" w:hAnsi="Arial" w:cs="Arial"/>
          <w:bCs/>
          <w:spacing w:val="-3"/>
          <w:sz w:val="22"/>
          <w:szCs w:val="22"/>
        </w:rPr>
        <w:t xml:space="preserve"> the boundary of the Cape York Peninsula Region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Pr="00714349">
        <w:rPr>
          <w:rFonts w:ascii="Arial" w:hAnsi="Arial" w:cs="Arial"/>
          <w:bCs/>
          <w:i/>
          <w:spacing w:val="-3"/>
          <w:sz w:val="22"/>
          <w:szCs w:val="22"/>
        </w:rPr>
        <w:t>Cape York Peninsula Heritage Act 2007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349">
        <w:rPr>
          <w:rFonts w:ascii="Arial" w:hAnsi="Arial" w:cs="Arial"/>
          <w:bCs/>
          <w:spacing w:val="-3"/>
          <w:sz w:val="22"/>
          <w:szCs w:val="22"/>
        </w:rPr>
        <w:t>to include additional land parcels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enable consistent management of the Cape York Peninsula protected area estate</w:t>
      </w:r>
      <w:r w:rsidRPr="0071434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2F9C373" w14:textId="7B39D35F" w:rsidR="009932D5" w:rsidRDefault="00735E5E" w:rsidP="00207A7F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C784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</w:t>
      </w:r>
      <w:r w:rsidRPr="00D46F91">
        <w:rPr>
          <w:rFonts w:ascii="Arial" w:hAnsi="Arial" w:cs="Arial"/>
          <w:bCs/>
          <w:spacing w:val="-3"/>
          <w:sz w:val="22"/>
          <w:szCs w:val="22"/>
        </w:rPr>
        <w:t xml:space="preserve"> the Natural Resources and Other Legislation (GDA2020) Amendment Bill 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introduced into the Legislative Assembly.</w:t>
      </w:r>
    </w:p>
    <w:p w14:paraId="12CBD70A" w14:textId="503CF366" w:rsidR="009932D5" w:rsidRPr="00F7609A" w:rsidRDefault="00735E5E" w:rsidP="00207A7F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spacing w:before="360"/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7609A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1056051" w14:textId="4FE51550" w:rsidR="009932D5" w:rsidRPr="005A7ED4" w:rsidRDefault="00776671" w:rsidP="00933B6F">
      <w:pPr>
        <w:pStyle w:val="ListParagraph"/>
        <w:numPr>
          <w:ilvl w:val="0"/>
          <w:numId w:val="6"/>
        </w:numPr>
        <w:tabs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hyperlink r:id="rId10" w:history="1">
        <w:r w:rsidR="00735E5E" w:rsidRPr="004C748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Natural Resources and Other Legislation (GDA2020) Amendment Bill 2019</w:t>
        </w:r>
      </w:hyperlink>
    </w:p>
    <w:p w14:paraId="57FBE111" w14:textId="68188BFD" w:rsidR="009C7711" w:rsidRPr="00933B6F" w:rsidRDefault="00776671" w:rsidP="00933B6F">
      <w:pPr>
        <w:pStyle w:val="ListParagraph"/>
        <w:numPr>
          <w:ilvl w:val="0"/>
          <w:numId w:val="6"/>
        </w:numPr>
        <w:tabs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hyperlink r:id="rId11" w:history="1">
        <w:r w:rsidR="00735E5E" w:rsidRPr="004C748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Explanatory </w:t>
        </w:r>
        <w:r w:rsidR="00933B6F" w:rsidRPr="004C748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</w:t>
        </w:r>
        <w:r w:rsidR="00735E5E" w:rsidRPr="004C748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otes</w:t>
        </w:r>
      </w:hyperlink>
    </w:p>
    <w:sectPr w:rsidR="009C7711" w:rsidRPr="00933B6F" w:rsidSect="00312C15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8B49" w14:textId="77777777" w:rsidR="00F90374" w:rsidRDefault="00F90374">
      <w:r>
        <w:separator/>
      </w:r>
    </w:p>
  </w:endnote>
  <w:endnote w:type="continuationSeparator" w:id="0">
    <w:p w14:paraId="1433A3C6" w14:textId="77777777" w:rsidR="00F90374" w:rsidRDefault="00F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ACC7" w14:textId="77777777" w:rsidR="00F90374" w:rsidRDefault="00F90374">
      <w:r>
        <w:separator/>
      </w:r>
    </w:p>
  </w:footnote>
  <w:footnote w:type="continuationSeparator" w:id="0">
    <w:p w14:paraId="44B5B65D" w14:textId="77777777" w:rsidR="00F90374" w:rsidRDefault="00F9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16D4" w14:textId="77777777" w:rsidR="00950178" w:rsidRPr="00D75134" w:rsidRDefault="00735E5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9C79B0F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9945256" w14:textId="488F3B1B" w:rsidR="00950178" w:rsidRPr="001E209B" w:rsidRDefault="00735E5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40BE3">
      <w:rPr>
        <w:rFonts w:ascii="Arial" w:hAnsi="Arial" w:cs="Arial"/>
        <w:b/>
        <w:sz w:val="22"/>
        <w:szCs w:val="22"/>
      </w:rPr>
      <w:t xml:space="preserve">October 2019 </w:t>
    </w:r>
  </w:p>
  <w:p w14:paraId="04977190" w14:textId="2506CE15" w:rsidR="00940BE3" w:rsidRPr="00207A7F" w:rsidRDefault="00735E5E" w:rsidP="00933B6F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207A7F">
      <w:rPr>
        <w:rFonts w:ascii="Arial" w:hAnsi="Arial" w:cs="Arial"/>
        <w:b/>
        <w:sz w:val="22"/>
        <w:szCs w:val="22"/>
        <w:u w:val="single"/>
      </w:rPr>
      <w:t>Natural Resources and Other Legislation (GDA2020) Amendment Bill 2019</w:t>
    </w:r>
  </w:p>
  <w:p w14:paraId="26F7DF03" w14:textId="77777777" w:rsidR="00950178" w:rsidRDefault="00735E5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</w:t>
    </w:r>
    <w:r w:rsidR="00E75006">
      <w:rPr>
        <w:rFonts w:ascii="Arial" w:hAnsi="Arial" w:cs="Arial"/>
        <w:b/>
        <w:sz w:val="22"/>
        <w:szCs w:val="22"/>
        <w:u w:val="single"/>
      </w:rPr>
      <w:t>,</w:t>
    </w:r>
    <w:r w:rsidR="00791A9C">
      <w:rPr>
        <w:rFonts w:ascii="Arial" w:hAnsi="Arial" w:cs="Arial"/>
        <w:b/>
        <w:sz w:val="22"/>
        <w:szCs w:val="22"/>
        <w:u w:val="single"/>
      </w:rPr>
      <w:t xml:space="preserve"> Mines</w:t>
    </w:r>
    <w:r w:rsidR="00E75006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0E3349A3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1ADF045A"/>
    <w:multiLevelType w:val="hybridMultilevel"/>
    <w:tmpl w:val="2F96D40C"/>
    <w:lvl w:ilvl="0" w:tplc="F72C0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B01D0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F4504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5EE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4F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FAC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ED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1A3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BCF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691022"/>
    <w:multiLevelType w:val="hybridMultilevel"/>
    <w:tmpl w:val="307EC6A8"/>
    <w:lvl w:ilvl="0" w:tplc="92FA1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F9CB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A7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0D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2A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4B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86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29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8D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04E92"/>
    <w:multiLevelType w:val="hybridMultilevel"/>
    <w:tmpl w:val="E710D8B2"/>
    <w:lvl w:ilvl="0" w:tplc="E54E6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009D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6466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703F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E2BD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42CE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DA5B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0CA1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A23A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323685"/>
    <w:multiLevelType w:val="hybridMultilevel"/>
    <w:tmpl w:val="8B248E1C"/>
    <w:lvl w:ilvl="0" w:tplc="31362B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1EBE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C616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B8D1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88FA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C05C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00F3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BA1C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7227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E4382"/>
    <w:multiLevelType w:val="hybridMultilevel"/>
    <w:tmpl w:val="B0F64FAC"/>
    <w:lvl w:ilvl="0" w:tplc="AA54F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262E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D0025D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A2D5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E9A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969E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C2D9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A089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ECED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9BE42886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F4004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B2E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AE2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78C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4A7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E2F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C04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F48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89C85E64"/>
    <w:lvl w:ilvl="0" w:tplc="7B60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F89875CE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D6180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F66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221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7AE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2C9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80B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28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5B"/>
    <w:rsid w:val="00004C80"/>
    <w:rsid w:val="000430DD"/>
    <w:rsid w:val="00080F8F"/>
    <w:rsid w:val="00140936"/>
    <w:rsid w:val="00165D2E"/>
    <w:rsid w:val="001B06AC"/>
    <w:rsid w:val="001E209B"/>
    <w:rsid w:val="00207A7F"/>
    <w:rsid w:val="0021344B"/>
    <w:rsid w:val="00252027"/>
    <w:rsid w:val="00280DCA"/>
    <w:rsid w:val="00312C15"/>
    <w:rsid w:val="00331B2C"/>
    <w:rsid w:val="0034156D"/>
    <w:rsid w:val="0035092F"/>
    <w:rsid w:val="00372753"/>
    <w:rsid w:val="003B5871"/>
    <w:rsid w:val="00476F1C"/>
    <w:rsid w:val="00480440"/>
    <w:rsid w:val="004C5D8D"/>
    <w:rsid w:val="004C7487"/>
    <w:rsid w:val="004E3AE1"/>
    <w:rsid w:val="00501C66"/>
    <w:rsid w:val="0050337D"/>
    <w:rsid w:val="00506D9D"/>
    <w:rsid w:val="005570B9"/>
    <w:rsid w:val="00564056"/>
    <w:rsid w:val="005A7ED4"/>
    <w:rsid w:val="005B7C70"/>
    <w:rsid w:val="00694BD7"/>
    <w:rsid w:val="00714349"/>
    <w:rsid w:val="00732E22"/>
    <w:rsid w:val="00735E5E"/>
    <w:rsid w:val="00740EF5"/>
    <w:rsid w:val="00776671"/>
    <w:rsid w:val="00791A9C"/>
    <w:rsid w:val="00834FA4"/>
    <w:rsid w:val="008A4523"/>
    <w:rsid w:val="008F44CD"/>
    <w:rsid w:val="00933B6F"/>
    <w:rsid w:val="00937A4A"/>
    <w:rsid w:val="00940BE3"/>
    <w:rsid w:val="00950178"/>
    <w:rsid w:val="009932D5"/>
    <w:rsid w:val="009C7711"/>
    <w:rsid w:val="00A527A5"/>
    <w:rsid w:val="00AA064D"/>
    <w:rsid w:val="00AA2794"/>
    <w:rsid w:val="00AA4D9E"/>
    <w:rsid w:val="00AE625B"/>
    <w:rsid w:val="00AF5F78"/>
    <w:rsid w:val="00B4690E"/>
    <w:rsid w:val="00B47288"/>
    <w:rsid w:val="00B56225"/>
    <w:rsid w:val="00B673DA"/>
    <w:rsid w:val="00B84833"/>
    <w:rsid w:val="00BC6952"/>
    <w:rsid w:val="00BE69F8"/>
    <w:rsid w:val="00C07656"/>
    <w:rsid w:val="00CE6FBA"/>
    <w:rsid w:val="00CE7AB5"/>
    <w:rsid w:val="00CF0D8A"/>
    <w:rsid w:val="00D46F91"/>
    <w:rsid w:val="00D6589B"/>
    <w:rsid w:val="00D75134"/>
    <w:rsid w:val="00DB6FE7"/>
    <w:rsid w:val="00DE61EC"/>
    <w:rsid w:val="00E75006"/>
    <w:rsid w:val="00EC7845"/>
    <w:rsid w:val="00F10DF9"/>
    <w:rsid w:val="00F7609A"/>
    <w:rsid w:val="00F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22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690E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690E"/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semiHidden/>
    <w:unhideWhenUsed/>
    <w:rsid w:val="00B4690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932D5"/>
    <w:pPr>
      <w:ind w:left="720"/>
      <w:contextualSpacing/>
    </w:pPr>
  </w:style>
  <w:style w:type="paragraph" w:styleId="BodyText">
    <w:name w:val="Body Text"/>
    <w:basedOn w:val="Normal"/>
    <w:link w:val="BodyTextChar"/>
    <w:rsid w:val="00834FA4"/>
    <w:pPr>
      <w:spacing w:before="120"/>
      <w:jc w:val="both"/>
    </w:pPr>
    <w:rPr>
      <w:rFonts w:ascii="Arial" w:eastAsia="Times New Roman" w:hAnsi="Arial"/>
      <w:bCs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34FA4"/>
    <w:rPr>
      <w:rFonts w:ascii="Arial" w:eastAsia="Times New Roman" w:hAnsi="Arial"/>
      <w:bCs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B84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abinet%20submissions\Cabinet%20submissions%20-%20TEMPLATES\Toolkits%20for%20MECS\Policy%20submission\Attachment%20xx_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E891-9642-4DD7-859B-AD0E206F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6B420-5800-4AB2-AF21-BA093E5D0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901EF-371F-4CB9-A4A8-358EC988B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xx_Proactive Release Summary.dotx</Template>
  <TotalTime>26</TotalTime>
  <Pages>1</Pages>
  <Words>327</Words>
  <Characters>1788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2111</CharactersWithSpaces>
  <SharedDoc>false</SharedDoc>
  <HyperlinkBase>https://www.cabinet.qld.gov.au/documents/2019/Oct/NRBill/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11</cp:revision>
  <dcterms:created xsi:type="dcterms:W3CDTF">2019-11-13T06:15:00Z</dcterms:created>
  <dcterms:modified xsi:type="dcterms:W3CDTF">2020-02-03T10:52:00Z</dcterms:modified>
  <cp:category>Legislation,Land,Consumer_Protection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